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C50C" w14:textId="30E081D2" w:rsidR="00967CC5" w:rsidRDefault="00967CC5" w:rsidP="00967CC5">
      <w:pPr>
        <w:spacing w:line="340" w:lineRule="exact"/>
        <w:ind w:left="210" w:hangingChars="100" w:hanging="210"/>
        <w:rPr>
          <w:rFonts w:ascii="ＭＳ ゴシック" w:eastAsia="ＭＳ ゴシック" w:hAnsi="ＭＳ ゴシック" w:cs="Times New Roman"/>
          <w:b/>
          <w:sz w:val="28"/>
          <w:szCs w:val="28"/>
          <w14:ligatures w14:val="none"/>
        </w:rPr>
      </w:pPr>
      <w:r>
        <w:rPr>
          <w:noProof/>
        </w:rPr>
        <mc:AlternateContent>
          <mc:Choice Requires="wps">
            <w:drawing>
              <wp:anchor distT="0" distB="0" distL="114300" distR="114300" simplePos="0" relativeHeight="251659264" behindDoc="0" locked="0" layoutInCell="1" allowOverlap="1" wp14:anchorId="68F00FBE" wp14:editId="28C53720">
                <wp:simplePos x="0" y="0"/>
                <wp:positionH relativeFrom="column">
                  <wp:posOffset>11430</wp:posOffset>
                </wp:positionH>
                <wp:positionV relativeFrom="paragraph">
                  <wp:posOffset>8255</wp:posOffset>
                </wp:positionV>
                <wp:extent cx="5370830" cy="781050"/>
                <wp:effectExtent l="0" t="0" r="1270" b="0"/>
                <wp:wrapNone/>
                <wp:docPr id="157698788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0830" cy="781050"/>
                        </a:xfrm>
                        <a:prstGeom prst="rect">
                          <a:avLst/>
                        </a:prstGeom>
                        <a:solidFill>
                          <a:sysClr val="window" lastClr="FFFFFF"/>
                        </a:solidFill>
                        <a:ln w="12700" cap="flat" cmpd="sng" algn="ctr">
                          <a:solidFill>
                            <a:srgbClr val="70AD47"/>
                          </a:solidFill>
                          <a:prstDash val="solid"/>
                          <a:miter lim="800000"/>
                        </a:ln>
                        <a:effectLst/>
                      </wps:spPr>
                      <wps:txbx>
                        <w:txbxContent>
                          <w:p w14:paraId="5709B62B" w14:textId="77777777" w:rsidR="00967CC5" w:rsidRPr="00967CC5" w:rsidRDefault="00967CC5" w:rsidP="00967CC5">
                            <w:pPr>
                              <w:spacing w:line="0" w:lineRule="atLeast"/>
                              <w:jc w:val="center"/>
                              <w:rPr>
                                <w:sz w:val="24"/>
                                <w:szCs w:val="24"/>
                              </w:rPr>
                            </w:pPr>
                            <w:r>
                              <w:rPr>
                                <w:rFonts w:ascii="BIZ UDPゴシック" w:eastAsia="BIZ UDPゴシック" w:hAnsi="BIZ UDPゴシック" w:hint="eastAsia"/>
                                <w:sz w:val="28"/>
                                <w:szCs w:val="28"/>
                              </w:rPr>
                              <w:t xml:space="preserve">　</w:t>
                            </w:r>
                            <w:r w:rsidRPr="00FA49FB">
                              <w:rPr>
                                <w:rFonts w:ascii="BIZ UDPゴシック" w:eastAsia="BIZ UDPゴシック" w:hAnsi="BIZ UDPゴシック" w:hint="eastAsia"/>
                                <w:sz w:val="28"/>
                                <w:szCs w:val="28"/>
                              </w:rPr>
                              <w:t>記載例</w:t>
                            </w:r>
                            <w:r w:rsidRPr="00FA49FB">
                              <w:rPr>
                                <w:rFonts w:hint="eastAsia"/>
                              </w:rPr>
                              <w:t xml:space="preserve">　</w:t>
                            </w:r>
                            <w:r>
                              <w:rPr>
                                <w:rFonts w:hint="eastAsia"/>
                              </w:rPr>
                              <w:t xml:space="preserve">　　</w:t>
                            </w:r>
                            <w:r w:rsidRPr="00967CC5">
                              <w:rPr>
                                <w:rFonts w:hint="eastAsia"/>
                                <w:sz w:val="24"/>
                                <w:szCs w:val="24"/>
                              </w:rPr>
                              <w:t>各医療機関の体制・機能に応じて、独自に作成される際の</w:t>
                            </w:r>
                          </w:p>
                          <w:p w14:paraId="2A9E760D" w14:textId="77777777" w:rsidR="00967CC5" w:rsidRDefault="00967CC5" w:rsidP="00967CC5">
                            <w:pPr>
                              <w:spacing w:line="0" w:lineRule="atLeast"/>
                              <w:ind w:firstLineChars="800" w:firstLine="1920"/>
                            </w:pPr>
                            <w:r w:rsidRPr="00967CC5">
                              <w:rPr>
                                <w:rFonts w:hint="eastAsia"/>
                                <w:sz w:val="24"/>
                                <w:szCs w:val="24"/>
                              </w:rPr>
                              <w:t>参考にご利用ください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0FBE" id="正方形/長方形 1" o:spid="_x0000_s1026" style="position:absolute;left:0;text-align:left;margin-left:.9pt;margin-top:.65pt;width:422.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" fillcolor="window" strokecolor="#70ad47" strokeweight="1pt">
                <v:path arrowok="t"/>
                <v:textbox>
                  <w:txbxContent>
                    <w:p w14:paraId="5709B62B" w14:textId="77777777" w:rsidR="00967CC5" w:rsidRPr="00967CC5" w:rsidRDefault="00967CC5" w:rsidP="00967CC5">
                      <w:pPr>
                        <w:spacing w:line="0" w:lineRule="atLeast"/>
                        <w:jc w:val="center"/>
                        <w:rPr>
                          <w:sz w:val="24"/>
                          <w:szCs w:val="24"/>
                        </w:rPr>
                      </w:pPr>
                      <w:r>
                        <w:rPr>
                          <w:rFonts w:ascii="BIZ UDPゴシック" w:eastAsia="BIZ UDPゴシック" w:hAnsi="BIZ UDPゴシック" w:hint="eastAsia"/>
                          <w:sz w:val="28"/>
                          <w:szCs w:val="28"/>
                        </w:rPr>
                        <w:t xml:space="preserve">　</w:t>
                      </w:r>
                      <w:r w:rsidRPr="00FA49FB">
                        <w:rPr>
                          <w:rFonts w:ascii="BIZ UDPゴシック" w:eastAsia="BIZ UDPゴシック" w:hAnsi="BIZ UDPゴシック" w:hint="eastAsia"/>
                          <w:sz w:val="28"/>
                          <w:szCs w:val="28"/>
                        </w:rPr>
                        <w:t>記載例</w:t>
                      </w:r>
                      <w:r w:rsidRPr="00FA49FB">
                        <w:rPr>
                          <w:rFonts w:hint="eastAsia"/>
                        </w:rPr>
                        <w:t xml:space="preserve">　</w:t>
                      </w:r>
                      <w:r>
                        <w:rPr>
                          <w:rFonts w:hint="eastAsia"/>
                        </w:rPr>
                        <w:t xml:space="preserve">　　</w:t>
                      </w:r>
                      <w:r w:rsidRPr="00967CC5">
                        <w:rPr>
                          <w:rFonts w:hint="eastAsia"/>
                          <w:sz w:val="24"/>
                          <w:szCs w:val="24"/>
                        </w:rPr>
                        <w:t>各医療機関の体制・機能に応じて、独自に作成される際の</w:t>
                      </w:r>
                    </w:p>
                    <w:p w14:paraId="2A9E760D" w14:textId="77777777" w:rsidR="00967CC5" w:rsidRDefault="00967CC5" w:rsidP="00967CC5">
                      <w:pPr>
                        <w:spacing w:line="0" w:lineRule="atLeast"/>
                        <w:ind w:firstLineChars="800" w:firstLine="1920"/>
                      </w:pPr>
                      <w:r w:rsidRPr="00967CC5">
                        <w:rPr>
                          <w:rFonts w:hint="eastAsia"/>
                          <w:sz w:val="24"/>
                          <w:szCs w:val="24"/>
                        </w:rPr>
                        <w:t>参考にご利用ください</w:t>
                      </w:r>
                      <w:r>
                        <w:rPr>
                          <w:rFonts w:hint="eastAsia"/>
                        </w:rPr>
                        <w:t>。</w:t>
                      </w:r>
                    </w:p>
                  </w:txbxContent>
                </v:textbox>
              </v:rect>
            </w:pict>
          </mc:Fallback>
        </mc:AlternateContent>
      </w:r>
    </w:p>
    <w:p w14:paraId="394CAC3B" w14:textId="77777777" w:rsidR="00967CC5" w:rsidRDefault="00967CC5" w:rsidP="00967CC5">
      <w:pPr>
        <w:spacing w:line="340" w:lineRule="exact"/>
        <w:ind w:left="281" w:hangingChars="100" w:hanging="281"/>
        <w:rPr>
          <w:rFonts w:ascii="ＭＳ ゴシック" w:eastAsia="ＭＳ ゴシック" w:hAnsi="ＭＳ ゴシック" w:cs="Times New Roman"/>
          <w:b/>
          <w:sz w:val="28"/>
          <w:szCs w:val="28"/>
          <w14:ligatures w14:val="none"/>
        </w:rPr>
      </w:pPr>
    </w:p>
    <w:p w14:paraId="52687C10" w14:textId="77777777" w:rsidR="00967CC5" w:rsidRDefault="00967CC5" w:rsidP="00967CC5">
      <w:pPr>
        <w:spacing w:line="340" w:lineRule="exact"/>
        <w:ind w:left="281" w:hangingChars="100" w:hanging="281"/>
        <w:rPr>
          <w:rFonts w:ascii="ＭＳ ゴシック" w:eastAsia="ＭＳ ゴシック" w:hAnsi="ＭＳ ゴシック" w:cs="Times New Roman"/>
          <w:b/>
          <w:sz w:val="28"/>
          <w:szCs w:val="28"/>
          <w14:ligatures w14:val="none"/>
        </w:rPr>
      </w:pPr>
    </w:p>
    <w:p w14:paraId="0D154910" w14:textId="77777777" w:rsidR="00967CC5" w:rsidRDefault="00967CC5" w:rsidP="00967CC5">
      <w:pPr>
        <w:spacing w:line="340" w:lineRule="exact"/>
        <w:ind w:left="281" w:hangingChars="100" w:hanging="281"/>
        <w:rPr>
          <w:rFonts w:ascii="ＭＳ ゴシック" w:eastAsia="ＭＳ ゴシック" w:hAnsi="ＭＳ ゴシック" w:cs="Times New Roman"/>
          <w:b/>
          <w:sz w:val="28"/>
          <w:szCs w:val="28"/>
          <w14:ligatures w14:val="none"/>
        </w:rPr>
      </w:pPr>
    </w:p>
    <w:p w14:paraId="1F334216" w14:textId="77777777" w:rsidR="00967CC5" w:rsidRDefault="00967CC5" w:rsidP="00967CC5">
      <w:pPr>
        <w:spacing w:line="340" w:lineRule="exact"/>
        <w:ind w:left="281" w:hangingChars="100" w:hanging="281"/>
        <w:rPr>
          <w:rFonts w:ascii="ＭＳ ゴシック" w:eastAsia="ＭＳ ゴシック" w:hAnsi="ＭＳ ゴシック" w:cs="Times New Roman" w:hint="eastAsia"/>
          <w:b/>
          <w:sz w:val="28"/>
          <w:szCs w:val="28"/>
          <w14:ligatures w14:val="none"/>
        </w:rPr>
      </w:pPr>
    </w:p>
    <w:p w14:paraId="13378D17" w14:textId="77777777" w:rsidR="00967CC5" w:rsidRDefault="00967CC5" w:rsidP="00967CC5">
      <w:pPr>
        <w:spacing w:line="340" w:lineRule="exact"/>
        <w:ind w:left="281" w:hangingChars="100" w:hanging="281"/>
        <w:rPr>
          <w:rFonts w:ascii="ＭＳ ゴシック" w:eastAsia="ＭＳ ゴシック" w:hAnsi="ＭＳ ゴシック" w:cs="Times New Roman"/>
          <w:b/>
          <w:sz w:val="28"/>
          <w:szCs w:val="28"/>
          <w14:ligatures w14:val="none"/>
        </w:rPr>
      </w:pPr>
    </w:p>
    <w:p w14:paraId="25EB5CD8" w14:textId="77777777" w:rsidR="00967CC5" w:rsidRDefault="00967CC5" w:rsidP="00967CC5">
      <w:pPr>
        <w:spacing w:line="340" w:lineRule="exact"/>
        <w:ind w:left="281" w:hangingChars="100" w:hanging="281"/>
        <w:jc w:val="center"/>
        <w:rPr>
          <w:rFonts w:ascii="ＭＳ ゴシック" w:eastAsia="ＭＳ ゴシック" w:hAnsi="ＭＳ ゴシック" w:cs="Times New Roman"/>
          <w:b/>
          <w:sz w:val="28"/>
          <w:szCs w:val="28"/>
          <w14:ligatures w14:val="none"/>
        </w:rPr>
      </w:pPr>
      <w:r w:rsidRPr="00967CC5">
        <w:rPr>
          <w:rFonts w:ascii="ＭＳ ゴシック" w:eastAsia="ＭＳ ゴシック" w:hAnsi="ＭＳ ゴシック" w:cs="Times New Roman" w:hint="eastAsia"/>
          <w:b/>
          <w:sz w:val="28"/>
          <w:szCs w:val="28"/>
          <w14:ligatures w14:val="none"/>
        </w:rPr>
        <w:t>発熱患者等の受入を行う際の動線分離の方法等の</w:t>
      </w:r>
    </w:p>
    <w:p w14:paraId="29DC433A" w14:textId="685BD445" w:rsidR="00967CC5" w:rsidRDefault="00967CC5" w:rsidP="00967CC5">
      <w:pPr>
        <w:spacing w:line="340" w:lineRule="exact"/>
        <w:ind w:left="281" w:hangingChars="100" w:hanging="281"/>
        <w:jc w:val="center"/>
        <w:rPr>
          <w:rFonts w:ascii="ＭＳ ゴシック" w:eastAsia="ＭＳ ゴシック" w:hAnsi="ＭＳ ゴシック" w:cs="Times New Roman"/>
          <w:b/>
          <w:sz w:val="28"/>
          <w:szCs w:val="28"/>
          <w14:ligatures w14:val="none"/>
        </w:rPr>
      </w:pPr>
      <w:r w:rsidRPr="00967CC5">
        <w:rPr>
          <w:rFonts w:ascii="ＭＳ ゴシック" w:eastAsia="ＭＳ ゴシック" w:hAnsi="ＭＳ ゴシック" w:cs="Times New Roman" w:hint="eastAsia"/>
          <w:b/>
          <w:sz w:val="28"/>
          <w:szCs w:val="28"/>
          <w14:ligatures w14:val="none"/>
        </w:rPr>
        <w:t>内容を盛り込んだ手順書</w:t>
      </w:r>
      <w:r w:rsidRPr="00967CC5">
        <w:rPr>
          <w:rFonts w:ascii="ＭＳ ゴシック" w:eastAsia="ＭＳ ゴシック" w:hAnsi="ＭＳ ゴシック" w:cs="Times New Roman" w:hint="eastAsia"/>
          <w:b/>
          <w:sz w:val="28"/>
          <w:szCs w:val="28"/>
          <w14:ligatures w14:val="none"/>
        </w:rPr>
        <w:t>について</w:t>
      </w:r>
    </w:p>
    <w:p w14:paraId="08465C10" w14:textId="77777777" w:rsidR="00967CC5" w:rsidRPr="00967CC5" w:rsidRDefault="00967CC5" w:rsidP="00967CC5">
      <w:pPr>
        <w:ind w:left="240" w:hangingChars="100" w:hanging="240"/>
        <w:rPr>
          <w:rFonts w:ascii="ＭＳ ゴシック" w:eastAsia="ＭＳ ゴシック" w:hAnsi="ＭＳ ゴシック" w:cs="Times New Roman" w:hint="eastAsia"/>
          <w:bCs/>
          <w:sz w:val="24"/>
          <w:szCs w:val="24"/>
          <w14:ligatures w14:val="none"/>
        </w:rPr>
      </w:pPr>
    </w:p>
    <w:tbl>
      <w:tblPr>
        <w:tblStyle w:val="a3"/>
        <w:tblW w:w="0" w:type="auto"/>
        <w:tblInd w:w="240" w:type="dxa"/>
        <w:tblLook w:val="04A0" w:firstRow="1" w:lastRow="0" w:firstColumn="1" w:lastColumn="0" w:noHBand="0" w:noVBand="1"/>
      </w:tblPr>
      <w:tblGrid>
        <w:gridCol w:w="8254"/>
      </w:tblGrid>
      <w:tr w:rsidR="00967CC5" w:rsidRPr="00967CC5" w14:paraId="2A273EFA" w14:textId="77777777" w:rsidTr="000F2F94">
        <w:tc>
          <w:tcPr>
            <w:tcW w:w="9742" w:type="dxa"/>
          </w:tcPr>
          <w:p w14:paraId="3279957F" w14:textId="77777777" w:rsidR="00967CC5" w:rsidRPr="00967CC5" w:rsidRDefault="00967CC5" w:rsidP="00967CC5">
            <w:pPr>
              <w:spacing w:line="320" w:lineRule="exact"/>
              <w:rPr>
                <w:rFonts w:eastAsia="ＭＳ ゴシック"/>
                <w:sz w:val="24"/>
                <w:szCs w:val="24"/>
                <w14:ligatures w14:val="none"/>
              </w:rPr>
            </w:pPr>
            <w:r w:rsidRPr="00967CC5">
              <w:rPr>
                <w:rFonts w:eastAsia="ＭＳ ゴシック" w:hint="eastAsia"/>
                <w:sz w:val="24"/>
                <w:szCs w:val="24"/>
                <w14:ligatures w14:val="none"/>
              </w:rPr>
              <w:t>文例（参考）</w:t>
            </w:r>
          </w:p>
          <w:p w14:paraId="7D68EF44" w14:textId="77777777" w:rsidR="00967CC5" w:rsidRPr="00967CC5" w:rsidRDefault="00967CC5" w:rsidP="00967CC5">
            <w:pPr>
              <w:spacing w:line="320" w:lineRule="exact"/>
              <w:rPr>
                <w:rFonts w:eastAsia="ＭＳ ゴシック"/>
                <w:sz w:val="24"/>
                <w:szCs w:val="24"/>
                <w14:ligatures w14:val="none"/>
              </w:rPr>
            </w:pPr>
            <w:r w:rsidRPr="00967CC5">
              <w:rPr>
                <w:rFonts w:eastAsia="ＭＳ ゴシック" w:hint="eastAsia"/>
                <w:sz w:val="24"/>
                <w:szCs w:val="24"/>
                <w14:ligatures w14:val="none"/>
              </w:rPr>
              <w:t>１．時間分離</w:t>
            </w:r>
          </w:p>
          <w:p w14:paraId="3DB00481" w14:textId="77777777" w:rsidR="00967CC5" w:rsidRPr="00967CC5" w:rsidRDefault="00967CC5" w:rsidP="00967CC5">
            <w:pPr>
              <w:spacing w:line="320" w:lineRule="exact"/>
              <w:ind w:leftChars="100" w:left="450" w:hangingChars="100" w:hanging="240"/>
              <w:rPr>
                <w:rFonts w:eastAsia="ＭＳ ゴシック"/>
                <w:sz w:val="24"/>
                <w:szCs w:val="24"/>
                <w14:ligatures w14:val="none"/>
              </w:rPr>
            </w:pPr>
            <w:r w:rsidRPr="00967CC5">
              <w:rPr>
                <w:rFonts w:eastAsia="ＭＳ ゴシック" w:hint="eastAsia"/>
                <w:sz w:val="24"/>
                <w:szCs w:val="24"/>
                <w14:ligatures w14:val="none"/>
              </w:rPr>
              <w:t>・発熱患者には、来院前に電話連絡を求めて来院時間を指定、事前に受診体制を準備する。</w:t>
            </w:r>
          </w:p>
          <w:p w14:paraId="24A9ABFF" w14:textId="77777777" w:rsidR="00967CC5" w:rsidRPr="00967CC5" w:rsidRDefault="00967CC5" w:rsidP="00967CC5">
            <w:pPr>
              <w:spacing w:line="320" w:lineRule="exact"/>
              <w:ind w:leftChars="100" w:left="450" w:hangingChars="100" w:hanging="240"/>
              <w:rPr>
                <w:rFonts w:eastAsia="ＭＳ ゴシック"/>
                <w:sz w:val="24"/>
                <w:szCs w:val="24"/>
                <w14:ligatures w14:val="none"/>
              </w:rPr>
            </w:pPr>
            <w:r w:rsidRPr="00967CC5">
              <w:rPr>
                <w:rFonts w:eastAsia="ＭＳ ゴシック" w:hint="eastAsia"/>
                <w:sz w:val="24"/>
                <w:szCs w:val="24"/>
                <w14:ligatures w14:val="none"/>
              </w:rPr>
              <w:t>・発熱患者が多数来院する際は、その他患者と異なる診療時間帯を設けるなど、重症化リスクの高い定期通院患者への感染リスクを下げる方策をとる。</w:t>
            </w:r>
          </w:p>
          <w:p w14:paraId="1C381507" w14:textId="77777777" w:rsidR="00967CC5" w:rsidRPr="00967CC5" w:rsidRDefault="00967CC5" w:rsidP="00967CC5">
            <w:pPr>
              <w:spacing w:line="320" w:lineRule="exact"/>
              <w:rPr>
                <w:rFonts w:eastAsia="ＭＳ ゴシック"/>
                <w:sz w:val="24"/>
                <w:szCs w:val="24"/>
                <w14:ligatures w14:val="none"/>
              </w:rPr>
            </w:pPr>
            <w:r w:rsidRPr="00967CC5">
              <w:rPr>
                <w:rFonts w:eastAsia="ＭＳ ゴシック" w:hint="eastAsia"/>
                <w:sz w:val="24"/>
                <w:szCs w:val="24"/>
                <w14:ligatures w14:val="none"/>
              </w:rPr>
              <w:t>２．空間分離</w:t>
            </w:r>
          </w:p>
          <w:p w14:paraId="2E8B7AA5" w14:textId="77777777" w:rsidR="00967CC5" w:rsidRPr="00967CC5" w:rsidRDefault="00967CC5" w:rsidP="00967CC5">
            <w:pPr>
              <w:spacing w:line="320" w:lineRule="exact"/>
              <w:ind w:leftChars="100" w:left="450" w:hangingChars="100" w:hanging="240"/>
              <w:rPr>
                <w:rFonts w:eastAsia="ＭＳ ゴシック"/>
                <w:sz w:val="24"/>
                <w:szCs w:val="24"/>
                <w14:ligatures w14:val="none"/>
              </w:rPr>
            </w:pPr>
            <w:r w:rsidRPr="00967CC5">
              <w:rPr>
                <w:rFonts w:eastAsia="ＭＳ ゴシック" w:hint="eastAsia"/>
                <w:sz w:val="24"/>
                <w:szCs w:val="24"/>
                <w14:ligatures w14:val="none"/>
              </w:rPr>
              <w:t>・自家用車で来院した場合には、自家用車内で待機してもらう。</w:t>
            </w:r>
          </w:p>
          <w:p w14:paraId="37ECE242" w14:textId="77777777" w:rsidR="00967CC5" w:rsidRPr="00967CC5" w:rsidRDefault="00967CC5" w:rsidP="00967CC5">
            <w:pPr>
              <w:spacing w:line="320" w:lineRule="exact"/>
              <w:ind w:leftChars="100" w:left="450" w:hangingChars="100" w:hanging="240"/>
              <w:rPr>
                <w:rFonts w:eastAsia="ＭＳ ゴシック"/>
                <w:sz w:val="24"/>
                <w:szCs w:val="24"/>
                <w14:ligatures w14:val="none"/>
              </w:rPr>
            </w:pPr>
            <w:r w:rsidRPr="00967CC5">
              <w:rPr>
                <w:rFonts w:eastAsia="ＭＳ ゴシック" w:hint="eastAsia"/>
                <w:sz w:val="24"/>
                <w:szCs w:val="24"/>
                <w14:ligatures w14:val="none"/>
              </w:rPr>
              <w:t>・発熱患者は受付後、隔離スペース（パーテーションによる簡易な分離等）へ誘導する（来院時にはサージカルマスクを着用してもらう）。</w:t>
            </w:r>
          </w:p>
          <w:p w14:paraId="15B0E169" w14:textId="77777777" w:rsidR="00967CC5" w:rsidRPr="00967CC5" w:rsidRDefault="00967CC5" w:rsidP="00967CC5">
            <w:pPr>
              <w:spacing w:line="320" w:lineRule="exact"/>
              <w:ind w:leftChars="100" w:left="450" w:hangingChars="100" w:hanging="240"/>
              <w:rPr>
                <w:rFonts w:eastAsia="ＭＳ ゴシック"/>
                <w:sz w:val="24"/>
                <w:szCs w:val="24"/>
                <w14:ligatures w14:val="none"/>
              </w:rPr>
            </w:pPr>
            <w:r w:rsidRPr="00967CC5">
              <w:rPr>
                <w:rFonts w:eastAsia="ＭＳ ゴシック" w:hint="eastAsia"/>
                <w:sz w:val="24"/>
                <w:szCs w:val="24"/>
                <w14:ligatures w14:val="none"/>
              </w:rPr>
              <w:t>・発熱患者とその他の患者で、異なる診察スペースを使用する。</w:t>
            </w:r>
          </w:p>
          <w:p w14:paraId="3DC42E0B" w14:textId="77777777" w:rsidR="00967CC5" w:rsidRPr="00967CC5" w:rsidRDefault="00967CC5" w:rsidP="00967CC5">
            <w:pPr>
              <w:spacing w:line="320" w:lineRule="exact"/>
              <w:ind w:leftChars="100" w:left="450" w:hangingChars="100" w:hanging="240"/>
              <w:rPr>
                <w:rFonts w:ascii="ＭＳ ゴシック" w:eastAsia="ＭＳ ゴシック" w:hAnsi="ＭＳ ゴシック"/>
                <w:bCs/>
                <w:sz w:val="24"/>
                <w:szCs w:val="24"/>
                <w14:ligatures w14:val="none"/>
              </w:rPr>
            </w:pPr>
            <w:r w:rsidRPr="00967CC5">
              <w:rPr>
                <w:rFonts w:eastAsia="ＭＳ ゴシック" w:hint="eastAsia"/>
                <w:sz w:val="24"/>
                <w:szCs w:val="24"/>
                <w14:ligatures w14:val="none"/>
              </w:rPr>
              <w:t>・発熱患者が多数来院する等、診療所内で隔離スペースや発熱患者用診察スペースの設置が困難な場合は、駐車場など屋外に、待合スペースや検体採取スペース、診察室スペースを設置する（プライバシーに配慮）。</w:t>
            </w:r>
          </w:p>
        </w:tc>
      </w:tr>
    </w:tbl>
    <w:p w14:paraId="56C0D007" w14:textId="77777777" w:rsidR="00DA4DE2" w:rsidRPr="00967CC5" w:rsidRDefault="00DA4DE2"/>
    <w:sectPr w:rsidR="00DA4DE2" w:rsidRPr="00967C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C5"/>
    <w:rsid w:val="00382654"/>
    <w:rsid w:val="00967CC5"/>
    <w:rsid w:val="00C75732"/>
    <w:rsid w:val="00DA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BCBD4"/>
  <w15:chartTrackingRefBased/>
  <w15:docId w15:val="{808728B2-DDD7-46B2-B506-0552BF3D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C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城東区医師会</dc:creator>
  <cp:keywords/>
  <dc:description/>
  <cp:lastModifiedBy>城東区医師会</cp:lastModifiedBy>
  <cp:revision>1</cp:revision>
  <dcterms:created xsi:type="dcterms:W3CDTF">2024-12-04T01:57:00Z</dcterms:created>
  <dcterms:modified xsi:type="dcterms:W3CDTF">2024-12-04T02:03:00Z</dcterms:modified>
</cp:coreProperties>
</file>